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87A86" w:rsidRDefault="000B50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50505"/>
          <w:sz w:val="32"/>
          <w:szCs w:val="32"/>
        </w:rPr>
        <w:t xml:space="preserve">Об исках о ликвидации «Мемориалов» </w:t>
      </w:r>
    </w:p>
    <w:p w14:paraId="00000002" w14:textId="77777777" w:rsidR="00687A86" w:rsidRDefault="00687A8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</w:p>
    <w:p w14:paraId="00000003" w14:textId="16FF0068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11 ноября 2021 года произошло то, о чём мы говорили уже девять лет — с 2012 года, когда в Госдуме начал рассматриваться первый из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иноагентских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законов. Некоммерческие организации — и не абы какие, а Международный Мемориал и Правозащитный центр «Мемориал»,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— одни из первых общественных организаций на постсоветском пространстве — собираются ликвидировать. </w:t>
      </w:r>
    </w:p>
    <w:p w14:paraId="00000004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*****</w:t>
      </w:r>
    </w:p>
    <w:p w14:paraId="00000005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Международный «Мемориал» ликвидируют за нарушение этого самого закона. Соответствующий административный иск подан Генеральной прокуратурой в Верховн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ый Суд РФ 9 ноября. Рассмотрение назначено на 25 ноября.</w:t>
      </w:r>
    </w:p>
    <w:p w14:paraId="00000006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Основание — неоднократное привлечение Международного Мемориала к административной ответственности за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немаркировку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«издаваемых или распространяемых им материалов». Да-да, больше ничего — даже никакой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самой завалящей ошибки в отчётности или в протоколе заседания правления. Два десятка протоколов по части 2 статьи 19.34 КоАП РФ (по два за каждую немаркированную публикацию: один на саму организацию, другой — на её председателя) объявлены «устойчивым прене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брежением законом».</w:t>
      </w:r>
    </w:p>
    <w:p w14:paraId="00000007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Санкция, о наложении которой просит Генпрокуратура, абсолютно непропорциональна этим «правонарушениям». Это всё равно, что сажать человека на 20 лет за переход в неположенном месте абсолютно пустой дороги.</w:t>
      </w:r>
    </w:p>
    <w:p w14:paraId="00000008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Даже если не касаться сути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агентского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законодательства в целом и того, является ли Международный Мемориал «иностранным агентом», попытка ликвидировать его за эти «правонарушения» абсурдна по целому ряду оснований даже в рамках действующего российского законодательства.</w:t>
      </w:r>
    </w:p>
    <w:p w14:paraId="00000009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Во-первых,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актически все протоколы об административных правонарушениях, о которых идёт речь в иске, составлены в один и тот же период, — осенью 2019 года. Фактически на Международный Мемориал и его председателя разом составили множество протоколов за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немаркировку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личных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Лишь один протокол — за то, что на стенде Мемориала на 33-й Московской международной книжной ярмарки лежали немаркированные книги — составлен позднее, в 2020 году. Очевидно, что ни о каком «систематическом нарушении закона» здесь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речь не идёт — не было такого, чтобы организацию привлекли к ответственности за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немаркировку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соцсети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она заплатила штраф и продолжила вести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соцсеть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без маркировки.</w:t>
      </w:r>
    </w:p>
    <w:p w14:paraId="0000000A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Во-вторых,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в данном случае речь идёт о невыполнении требований закона, которые изначально с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формулированы чрезвычайно размыто и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 xml:space="preserve">применение которых с годами расширялось. То есть до 2019 года ни Минюст, ни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Роскомнадзор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не требовали от НКО, внесённых в реестр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иноагентов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, маркировать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соцсети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— а в 2019 году вдруг стали. Можно ли ликвидировать организ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ацию за то, что она не выполняла требования, которые к ней не предъявлялись?</w:t>
      </w:r>
    </w:p>
    <w:p w14:paraId="0000000B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 xml:space="preserve">В-третьих,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в этих делах нет потерпевших. Не существует ни людей, ни организаций, которым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немаркировка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соцсетей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Международного Мемориала причинила или могла причинить какой-либо вр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ед. Разумеется, прокуратура возразит на это, что вред был причинён «охраняемым законом общественным отношениям». Но уничтожение организации, которая работает на протяжении более чем 30 лет и приносит осязаемую пользу обществу, не может считаться пропорцион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альным некоему абстрактному вреду, который невозможно даже вербализировать.</w:t>
      </w:r>
    </w:p>
    <w:p w14:paraId="0000000C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</w:rPr>
        <w:t>В-четвёртых,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все международные документы, касающиеся положения некоммерческих организаций — многочисленные рекомендации ПАСЕ и Комитетов ООН — говорят, что ликвидация НКО должна пр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именяться лишь в качестве «последнего средства», когда допущенные организацией нарушения столь серьёзны, что исправить их иначе невозможно. Более того, этой позиции придерживается и Верховный Суд РФ. В соответствующем постановлении его Пленума 2016 года го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ворится следующее:</w:t>
      </w:r>
    </w:p>
    <w:p w14:paraId="0000000D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50505"/>
          <w:sz w:val="28"/>
          <w:szCs w:val="28"/>
        </w:rPr>
        <w:t>«В качестве грубого нарушения объединением граждан Конституции Российской Федерации, федеральных конституционных законов, федеральных законов или иных нормативных правовых актов могут быть расценены действия, направленные на отрицание фу</w:t>
      </w:r>
      <w:r>
        <w:rPr>
          <w:rFonts w:ascii="Times New Roman" w:eastAsia="Times New Roman" w:hAnsi="Times New Roman" w:cs="Times New Roman"/>
          <w:i/>
          <w:color w:val="050505"/>
          <w:sz w:val="28"/>
          <w:szCs w:val="28"/>
        </w:rPr>
        <w:t>ндаментальных демократических принципов, прав или свобод, признанных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законами и иными нормативными пр</w:t>
      </w:r>
      <w:r>
        <w:rPr>
          <w:rFonts w:ascii="Times New Roman" w:eastAsia="Times New Roman" w:hAnsi="Times New Roman" w:cs="Times New Roman"/>
          <w:i/>
          <w:color w:val="050505"/>
          <w:sz w:val="28"/>
          <w:szCs w:val="28"/>
        </w:rPr>
        <w:t>авовыми актами, на пропаганду войны либо на разжигание национальной, расовой или религиозной ненависти, призывы к дискриминации, вражде или насилию.</w:t>
      </w:r>
    </w:p>
    <w:p w14:paraId="0000000E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50505"/>
          <w:sz w:val="28"/>
          <w:szCs w:val="28"/>
        </w:rPr>
        <w:t>Грубым также является нарушение, которое создаёт реальную угрозу или повлекло причинение вреда жизни, здоро</w:t>
      </w:r>
      <w:r>
        <w:rPr>
          <w:rFonts w:ascii="Times New Roman" w:eastAsia="Times New Roman" w:hAnsi="Times New Roman" w:cs="Times New Roman"/>
          <w:i/>
          <w:color w:val="050505"/>
          <w:sz w:val="28"/>
          <w:szCs w:val="28"/>
        </w:rPr>
        <w:t>вью граждан, окружающей среде, общественному порядку и безопасности, собственности, законным экономическим интересам физических и (или) юридических лиц, общества и государства.</w:t>
      </w:r>
    </w:p>
    <w:p w14:paraId="0000000F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50505"/>
          <w:sz w:val="28"/>
          <w:szCs w:val="28"/>
        </w:rPr>
        <w:t>К грубым следует относить нарушения, которые влекут невозможность их устранения</w:t>
      </w:r>
      <w:r>
        <w:rPr>
          <w:rFonts w:ascii="Times New Roman" w:eastAsia="Times New Roman" w:hAnsi="Times New Roman" w:cs="Times New Roman"/>
          <w:i/>
          <w:color w:val="050505"/>
          <w:sz w:val="28"/>
          <w:szCs w:val="28"/>
        </w:rPr>
        <w:t xml:space="preserve"> законным способом. Например, невозможность принятия решения в порядке, установленном учредительными документами».</w:t>
      </w:r>
    </w:p>
    <w:p w14:paraId="00000010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Очевидно, что ничего из этого Международный Мемориал никогда за 30 лет своего существования не совершал. Очевидно, что </w:t>
      </w: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немаркировка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lastRenderedPageBreak/>
        <w:t>нескольки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х страниц в интернете и нескольких книг не может считаться «грубым» нарушением закона. Тем не менее Генеральная прокуратура считает иначе — и, увы, в нынешних условиях мы не можем не опасаться, что Верховный Суд согласится с нею.</w:t>
      </w:r>
    </w:p>
    <w:p w14:paraId="00000011" w14:textId="77777777" w:rsidR="00687A86" w:rsidRDefault="000B500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*****</w:t>
      </w:r>
    </w:p>
    <w:p w14:paraId="00000012" w14:textId="77777777" w:rsidR="00687A86" w:rsidRDefault="000B500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В административном 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сковом заявлении Прокуратуры Москвы в отношении Правозащитного центра «Мемориал», направленном в Мосгорсуд, кроме претензий к маркировке или к отчётности, есть весьма существенное дополнение. </w:t>
      </w:r>
    </w:p>
    <w:p w14:paraId="00000013" w14:textId="77777777" w:rsidR="00687A86" w:rsidRDefault="000B500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Мосгорпрокуратура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утверждает, что в нарушение ФКЗ «О судебной с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истеме РФ» нами «отрицаются установленные вступившими в законную силу решениями Верховного Суда РФ факты, формируется мнение об их незаконности и необязательности исполнения», что в наших материалах содержатся признаки оправдания деятельности участников те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ррористических и экстремистских организаций, и что наши материалы «формируют у их адресатов мнение о допустимости участия в деятельности экстремистских и террористических организаций».</w:t>
      </w:r>
    </w:p>
    <w:p w14:paraId="00000014" w14:textId="77777777" w:rsidR="00687A86" w:rsidRDefault="000B500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Мы категорически не согласны с этими обвинениями. </w:t>
      </w:r>
    </w:p>
    <w:p w14:paraId="00000015" w14:textId="77777777" w:rsidR="00687A86" w:rsidRDefault="000B500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В каждой справке о д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елах тех, кого мы считаем политзаключённым, в каждом сообщении о признании политзаключённым мы всегда указываем, что </w:t>
      </w:r>
      <w:r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</w:rPr>
        <w:t>признание лица политзаключённым не означает ни нашего согласия с его взглядами и высказываниями, ни одобрения его высказываний или действий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. </w:t>
      </w:r>
    </w:p>
    <w:p w14:paraId="00000016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Согласно ст.6 ФКЗ «О судебной системе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вступившие в законную силу постановления судов являются обязательными для всех и подлежат неукоснительному исполнению на всей территории Российской Федерации.</w:t>
      </w:r>
    </w:p>
    <w:p w14:paraId="00000017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судебные решения, которыми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ПЦ «Мемориал» возлагались какие бы то ни было обязанности, мы неукоснительно исполняли, независимо от того, были ли мы с ними согласны. Вопреки утверждениям административного искового заявления,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 наших материалах отсутствуют утверждения о необязательност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 исполнения судебных решений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18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обязанность соглашаться со вступившими в законную силу решениями судов не установлена (и не может быть установлена!)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 законом «О судебной системе», в нарушении ст.6 которого обвиняет нас Прокуратура Москвы, ни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каким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другим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9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Это требование прямо противоречит ст.29 Конституции РФ</w:t>
      </w:r>
      <w:r>
        <w:rPr>
          <w:rFonts w:ascii="Times New Roman" w:eastAsia="Times New Roman" w:hAnsi="Times New Roman" w:cs="Times New Roman"/>
          <w:sz w:val="28"/>
          <w:szCs w:val="28"/>
        </w:rPr>
        <w:t>, гарантирующей каждому свободу мыслей и слова, и устанавливающей запрет на принуждение к отказу от мнений и убеждений.</w:t>
      </w:r>
    </w:p>
    <w:p w14:paraId="0000001A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Конституция устанавливает запрет пропаганды или агитации, возбуждающей социальную, расовую, национальную или религиозную ненависть и вражду, пропаганды социального, расового, национального, религиозного или языкового превосходства. Ничего подобного нет ни </w:t>
      </w:r>
      <w:r>
        <w:rPr>
          <w:rFonts w:ascii="Times New Roman" w:eastAsia="Times New Roman" w:hAnsi="Times New Roman" w:cs="Times New Roman"/>
          <w:sz w:val="28"/>
          <w:szCs w:val="28"/>
        </w:rPr>
        <w:t>в упомянутых Прокуратурой в её исковом заявлении материалах, ни в каких-то других материалах ПЦ «Мемориал», да и сама Прокуратура на такие обвинения не решилась.</w:t>
      </w:r>
    </w:p>
    <w:p w14:paraId="0000001B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 не соглашаться с судебными решениями, вступившими в законную силу, явным образом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ждается правом их кассационного и надзорного обжалования, конституционным правом обращаться в межгосударственные органы по защите прав и свобод человека, если были исчерпаны имеющиеся внутригосударственные средства правовой защиты.</w:t>
      </w:r>
    </w:p>
    <w:p w14:paraId="0000001C" w14:textId="77777777" w:rsidR="00687A86" w:rsidRDefault="000B5005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</w:rPr>
        <w:t>Публично критиковать реш</w:t>
      </w:r>
      <w:r>
        <w:rPr>
          <w:rFonts w:ascii="Times New Roman" w:eastAsia="Times New Roman" w:hAnsi="Times New Roman" w:cs="Times New Roman"/>
          <w:b/>
          <w:i/>
          <w:color w:val="050505"/>
          <w:sz w:val="28"/>
          <w:szCs w:val="28"/>
        </w:rPr>
        <w:t>ения судов, выражать с ними несогласие — фундаментальное право любого человека и объединения.</w:t>
      </w:r>
    </w:p>
    <w:p w14:paraId="0000001D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Утверждения искового заявления о наличии в наших материалах «признаков оправдания деятельности участников террористических и экстремистских организаций» также не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соответствует реальности. Ни в одном нашем материале нет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признании идеологии и практики терроризма и экстремизма правильными, нуждающимися в поддержке или подражании.</w:t>
      </w:r>
    </w:p>
    <w:p w14:paraId="0000001E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Столь же абсурдно утверждение о том, что наши материалы «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формируют у их адрес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атов мнение о допустимости участия в деятельности экстремистских и террористических организаций». Все наши материалы, к которым предъявлены претензии подобного рода, описывают случаи уголовного преследования и лишения свободы людей, являвшихся участниками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организаций, признанных террористическими и экстремистскими, или объявленных такими участниками. О каком формировании мнения о допустимости участия можно говорить, если мы сообщаем о том, что за такое участие, реальное или даже предполагаемое, приходится р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асплачиваться годами, а то и десятилетиями лишения свободы? </w:t>
      </w:r>
    </w:p>
    <w:p w14:paraId="0000001F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50505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Мы действительно выражаем мнение о допустимости мирной и не содержащей призывов к насилию реализации людьми своих конституционных прав: на свободу совести, выражения, собраний и объединений, — но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такое мнение совершенно законно, и не может быть запрещено. </w:t>
      </w:r>
    </w:p>
    <w:p w14:paraId="00000020" w14:textId="77777777" w:rsidR="00687A86" w:rsidRDefault="000B500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При этом мы действительно не согласны как с объявлением ряда организаций террористическими и экстремистскими, так и с приговорами по делам людей, признаваемых нами политзаключёнными, считаем эти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решения необоснованными и не соответствующими закону, и аргументированно критикуем эти судебные акты, осуществляя таким образом своё конституционное право на выражение мнения.</w:t>
      </w:r>
    </w:p>
    <w:sectPr w:rsidR="00687A86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AF1A5" w14:textId="77777777" w:rsidR="000B5005" w:rsidRDefault="000B5005" w:rsidP="00122235">
      <w:pPr>
        <w:spacing w:after="0" w:line="240" w:lineRule="auto"/>
      </w:pPr>
      <w:r>
        <w:separator/>
      </w:r>
    </w:p>
  </w:endnote>
  <w:endnote w:type="continuationSeparator" w:id="0">
    <w:p w14:paraId="0F5B4F43" w14:textId="77777777" w:rsidR="000B5005" w:rsidRDefault="000B5005" w:rsidP="0012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81A58" w14:textId="41DEE69F" w:rsidR="00122235" w:rsidRPr="00122235" w:rsidRDefault="00122235">
    <w:pPr>
      <w:pStyle w:val="a7"/>
      <w:rPr>
        <w:sz w:val="20"/>
        <w:szCs w:val="20"/>
      </w:rPr>
    </w:pPr>
    <w:r w:rsidRPr="0067468F">
      <w:rPr>
        <w:rFonts w:ascii="Segoe UI" w:hAnsi="Segoe UI" w:cs="Segoe UI"/>
        <w:color w:val="000000"/>
        <w:sz w:val="20"/>
        <w:szCs w:val="20"/>
        <w:shd w:val="clear" w:color="auto" w:fill="FFFFFF"/>
      </w:rPr>
      <w:t xml:space="preserve">Данный документ распространяет ПЦ «Мемориал», который внесен в реестр «НКО, выполняющих функции иностранного агента». </w:t>
    </w:r>
    <w:r w:rsidRPr="00C303B4">
      <w:rPr>
        <w:rFonts w:ascii="Segoe UI" w:hAnsi="Segoe UI" w:cs="Segoe UI"/>
        <w:color w:val="000000"/>
        <w:sz w:val="20"/>
        <w:szCs w:val="20"/>
        <w:shd w:val="clear" w:color="auto" w:fill="FFFFFF"/>
      </w:rPr>
      <w:t>Мы обжалуем это решение.</w:t>
    </w:r>
  </w:p>
  <w:p w14:paraId="7F7F56DE" w14:textId="77777777" w:rsidR="00122235" w:rsidRDefault="001222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98123" w14:textId="77777777" w:rsidR="000B5005" w:rsidRDefault="000B5005" w:rsidP="00122235">
      <w:pPr>
        <w:spacing w:after="0" w:line="240" w:lineRule="auto"/>
      </w:pPr>
      <w:r>
        <w:separator/>
      </w:r>
    </w:p>
  </w:footnote>
  <w:footnote w:type="continuationSeparator" w:id="0">
    <w:p w14:paraId="6BCE5C87" w14:textId="77777777" w:rsidR="000B5005" w:rsidRDefault="000B5005" w:rsidP="00122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86"/>
    <w:rsid w:val="000B5005"/>
    <w:rsid w:val="00122235"/>
    <w:rsid w:val="00687A86"/>
    <w:rsid w:val="00C6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35FD6-4B1F-4687-ABCB-102D99A0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Quote"/>
    <w:aliases w:val="Оглавление 2 Знак,Цитата 2 Знак1 Знак"/>
    <w:basedOn w:val="a"/>
    <w:next w:val="a"/>
    <w:link w:val="21"/>
    <w:uiPriority w:val="29"/>
    <w:qFormat/>
    <w:rsid w:val="00BD4436"/>
    <w:pPr>
      <w:spacing w:before="200"/>
      <w:ind w:left="864" w:right="864"/>
      <w:jc w:val="both"/>
    </w:pPr>
    <w:rPr>
      <w:i/>
      <w:iCs/>
      <w:color w:val="404040" w:themeColor="text1" w:themeTint="BF"/>
    </w:rPr>
  </w:style>
  <w:style w:type="character" w:customStyle="1" w:styleId="21">
    <w:name w:val="Цитата 2 Знак"/>
    <w:aliases w:val="Оглавление 2 Знак Знак,Цитата 2 Знак1 Знак Знак"/>
    <w:basedOn w:val="a0"/>
    <w:link w:val="20"/>
    <w:uiPriority w:val="29"/>
    <w:rsid w:val="00BD4436"/>
    <w:rPr>
      <w:i/>
      <w:iCs/>
      <w:color w:val="404040" w:themeColor="text1" w:themeTint="BF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12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235"/>
  </w:style>
  <w:style w:type="paragraph" w:styleId="a7">
    <w:name w:val="footer"/>
    <w:basedOn w:val="a"/>
    <w:link w:val="a8"/>
    <w:uiPriority w:val="99"/>
    <w:unhideWhenUsed/>
    <w:rsid w:val="00122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y5yuXGYrJm/bDoRc6h8hkL8cmQ==">AMUW2mUZkIoLKSvKAhcH4navY6/cGYKUwemlI+7j/K4U/XHyVUiOo0FivHHN8O8/Nm3Iwh1NyfKTMUxJer75JMRR6TEdWhA7uluiIyATaeitawWzGnDcgOzIAGsbpEdc3IYlqqgg2nbK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1436</Words>
  <Characters>8189</Characters>
  <Application>Microsoft Office Word</Application>
  <DocSecurity>0</DocSecurity>
  <Lines>68</Lines>
  <Paragraphs>19</Paragraphs>
  <ScaleCrop>false</ScaleCrop>
  <Company/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Davidis</dc:creator>
  <cp:lastModifiedBy>Юля Климова</cp:lastModifiedBy>
  <cp:revision>3</cp:revision>
  <dcterms:created xsi:type="dcterms:W3CDTF">2021-11-15T15:56:00Z</dcterms:created>
  <dcterms:modified xsi:type="dcterms:W3CDTF">2021-11-18T16:35:00Z</dcterms:modified>
</cp:coreProperties>
</file>